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29" w:rsidRPr="00E66129" w:rsidRDefault="00E66129" w:rsidP="00E66129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</w:rPr>
      </w:pPr>
      <w:bookmarkStart w:id="0" w:name="_GoBack"/>
      <w:bookmarkEnd w:id="0"/>
      <w:r w:rsidRPr="00E66129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</w:rPr>
        <w:t>VYHLÁŠKA</w:t>
      </w:r>
    </w:p>
    <w:p w:rsidR="00E66129" w:rsidRPr="00E66129" w:rsidRDefault="00E66129" w:rsidP="00E66129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ze dne 11. dubna 2016,</w:t>
      </w:r>
    </w:p>
    <w:p w:rsidR="00E66129" w:rsidRPr="00E66129" w:rsidRDefault="00E66129" w:rsidP="00E66129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kterou se mění vyhláška č. 197/2004 Sb., k provedení zákona č. 99/2004 Sb., o rybníkářství, výkonu rybářského práva, rybářské stráži, ochraně mořských rybolovných zdrojů a o změně některých zákonů (zákon o rybářství), ve znění pozdějších předpisů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Ministerstvo zemědělství stanoví podle § 32 zákona č.  99/2004 Sb., o rybníkářství, výkonu rybářského práva, rybářské stráži, ochraně mořských rybolovných zdrojů a o změně některých zákonů (zákon o rybářství):</w:t>
      </w:r>
    </w:p>
    <w:p w:rsidR="00E66129" w:rsidRPr="00E66129" w:rsidRDefault="00E66129" w:rsidP="00E6612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Čl. I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Vyhláška č. 197/2004 Sb., k provedení zákona č. 99/2004 Sb., o rybníkářství, výkonu rybářského práva, rybářské stráži, ochraně mořských rybolovných zdrojů a o změně některých zákonů (zákon o rybářství), ve znění vyhlášky č. 239/2006 Sb., vyhlášky č. 20/2010 Sb. a vyhlášky č. 122/2010 Sb., se mění takto: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 V § 6 odst. 1 písm. a) se slovo „úkonům“ nahrazuje slovem „jednáním“.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2. V § 6 odst. 1 se písmeno d) zrušuje.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Dosavadní písmena e) a f) se označují jako písmena d) a e).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3. V § 6 odst. 1 písm. d) se za slovo „bakalářském“ vkládá slovo „nebo“ a slova „nebo doktorském“ a „nebo v oblasti přírodních věd se zaměřením na hydrobiologii nebo ichtyologii“ se zrušují.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4. V § 6 odst. 2 se slova „v odstavci 1 písm. e) nebo f)“ nahrazují slovy „v odstavci 1 písm. d) nebo e)“.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5. V § 6 odstavec 3 včetně poznámky pod čarou č. 3 zní: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„(3) Uznání splnění požadavků na odbornou kvalifikaci podle odstavce 1 písm. d) a e) a odstavce 2 stanoví jiný právní předpis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3)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E66129" w:rsidRPr="00E66129" w:rsidRDefault="002B08E5" w:rsidP="00E66129">
      <w:pPr>
        <w:spacing w:after="75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pict>
          <v:rect id="_x0000_i1025" style="width:194.5pt;height:0" o:hrpct="0" o:hrstd="t" o:hrnoshade="t" o:hr="t" fillcolor="#585858" stroked="f"/>
        </w:pic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0786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cs-CZ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Zákon č. 18/2004 Sb., o uznávání odborné kvalifikace a jiné způsobilosti státních příslušníků členských států Evropské unie a některých příslušníků jiných států a o změně některých zákonů (zákon o uznávání odborné kvalifikace), ve znění pozdějších předpisů.“.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6. V § 6 se odstavec 4 zrušuje.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Dosavadní odstavce 5 až 14 se označují jako odstavce 4 až 13.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7. V § 7 odst. 1 se na začátek písmene a) vkládá slovo „minimální“ a za slova „množství ryb v“ se vkládá slovo „uvedené“.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8. § 10 včetně nadpisu zní:</w:t>
      </w:r>
    </w:p>
    <w:p w:rsidR="00E66129" w:rsidRPr="00E66129" w:rsidRDefault="00E66129" w:rsidP="00E6612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„§ 10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Rybářský lístek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[K § 13 odst. 8 a odst. 11 písm. a) a b) zákona]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Rybářský lístek se vydává pro celé území České republiky na dobu 10 let, 3 let, 1 roku nebo 30 dní ode dne jeho vydání.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Rybářský lístek se vydává podle vzoru uvedeného v příloze č. 6 k této vyhlášce.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(3) Kvalifikační předpoklady pro získání prvního rybářského lístku jsou základní znalosti z oblasti rybářství, biologie ryb, právních předpisů upravujících lov ryb, prokázané osvědčením o získané kvalifikaci vydaným právnickou osobou pověřenou ministerstvem k ověřování znalostí žadatelů pro vydání prvního rybářského lístku. Vzor osvědčení o získané kvalifikaci pro vydání prvního rybářského lístku a rozsah znalostí potřebných pro jeho vydání jsou uvedeny v příloze č. 6 k této vyhlášce.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(4) Kvalifikační</w:t>
      </w:r>
      <w:proofErr w:type="gramEnd"/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předpoklady uvedené v odstavci 3 splňuje osoba, </w:t>
      </w:r>
      <w:proofErr w:type="gramStart"/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která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76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je rybářským hospodářem, zástupcem rybářského hospodáře nebo rybářskou stráží,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složila zkoušku na rybářského hospodáře nebo na rybářskou stráž,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složila zkoušku z předmětu rybářství na vysoké škole,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ukončila vysokoškolské vzdělání v akreditovaném bakalářském nebo magisterském studijním programu v oblasti zemědělství ve studijním oboru se zaměřením na rybářství nebo ve volitelném předmětu rybářství na škole uskutečňující takový program nebo obor,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ukončila střední vzdělání s maturitní zkouškou v oboru vzdělání rybářství,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ukončila střední vzdělání s výučním listem v oboru vzdělání rybář.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(5) Další rybářský lístek se vydá žadateli, prokáže-li se dříve vydaným rybářským lístkem, s výjimkou rybářského lístku vydaného na dobu 30 dní, popřípadě jiným dokladem osvědčujícím, že již byl držitelem rybářského lístku, s výjimkou rybářského lístku vydaného na dobu 30 dní.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(6) Cizinci se vydá rybářský lístek též, prokáže-li se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76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dříve vydaným rybářským lístkem, s výjimkou rybářského lístku vydaného na 30 dní,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jiným dokladem, osvědčujícím, že již byl držitelem rybářského lístku, s výjimkou rybářského lístku vydaného na 30 dní,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osvědčením o získané kvalifikaci podle odstavce 3,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oprávněním obdobným rybářskému lístku vydaným v cizím státě.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(7) K vydání rybářského lístku na dobu 30 dní včetně se nevyžaduje prokázání kvalifikačních předpokladů podle odstavce 3.“.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9. V § 11 odst. 2 písm. g) a v odst. 3 písm. d) se číslo „35“ nahrazuje číslem „40“.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10. V § 12 se odstavec 3 včetně poznámky pod čarou č. 4 zrušuje.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11. V § 13 se vkládá nový odstavec 1, který zní: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„(1) Od 1. ledna do 15. dubna a dále od 1. prosince do 31. prosince jsou v pstruhovém rybářském revíru hájeny všechny druhy ryb.“.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Dosavadní odstavce 1 až 7 se označují jako odstavce 2 až 8.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12. V § 13 odstavec 4 zní: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„(4) Od 1. ledna do 15. června jsou v mimopstruhovém rybářském revíru hájeni: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023"/>
      </w:tblGrid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bolen dravý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Aspius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aspius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candát obecný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Stizostedion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lucioperca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okoun říční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Perca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fluviatilis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sumec velký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Silurus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glanis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štika obecná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Esox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13. V § 16 odstavec 1 zní: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„(1) V mimopstruhovém rybářském revíru je povoleným způsobem lovu: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76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lov na položenou, lov na umělou mušku, lov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muškařením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nebo lov na plavanou,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pouze v době od 16. června do 31. prosince lov přívlačí, lov hlubinou přívlačí nebo lov čeřínkováním.“.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14. § 19 včetně nadpisu zní:</w:t>
      </w:r>
    </w:p>
    <w:p w:rsidR="00E66129" w:rsidRPr="00E66129" w:rsidRDefault="00E66129" w:rsidP="00E6612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„Předpoklady pro výkon funkce rybářské stráže, jejich ověřování, vzor služebního odznaku a průkazu rybářské stráže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14 odst. 9 zákona)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§ 19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Znalost práv a povinností rybářské stráže se prokazuje podle § 14 odst. 2 písm. e) zákona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76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ukončeném vysokoškolském vzdělání získaném studiem v akreditovaném bakalářském nebo magisterském studijním programu v oblasti zemědělství ve studijním oboru se zaměřením na rybářství,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získání úplného středního odborného vzdělání ve studijním oboru rybářství nebo dokladem o ukončení studia na vyšší odborné škole se studijním oborem vodní hospodářství a ekologie, v němž součástí absolutoria je zkouška ze základů rybářství,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složení zkoušek na rybářského hospodáře,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složení zkoušky pro výkon funkce rybářské stráže (dále jen „zkouška rybářské stráže“) vydaným po absolvování odborného kurzu.</w:t>
            </w:r>
          </w:p>
        </w:tc>
      </w:tr>
    </w:tbl>
    <w:p w:rsidR="00E66129" w:rsidRPr="00E66129" w:rsidRDefault="00E66129" w:rsidP="00E66129">
      <w:pPr>
        <w:shd w:val="clear" w:color="auto" w:fill="FFFFFF"/>
        <w:spacing w:after="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Uznání splnění požadavků na odbornou kvalifikaci podle odstavce 1 a § 26 odst. 2 stanoví jiný právní předpis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3)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.“.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15. V § 20 odst. 3 písm. c) se slova „trestního zákona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6)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“ nahrazují slovy „trestního zákoníku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6)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Poznámka pod čarou č. 6 zní:</w:t>
      </w:r>
    </w:p>
    <w:p w:rsidR="00E66129" w:rsidRPr="00E66129" w:rsidRDefault="002B08E5" w:rsidP="00E66129">
      <w:pPr>
        <w:spacing w:after="75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pict>
          <v:rect id="_x0000_i1026" style="width:194.5pt;height:0" o:hrpct="0" o:hrstd="t" o:hrnoshade="t" o:hr="t" fillcolor="#585858" stroked="f"/>
        </w:pic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494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„</w:t>
            </w:r>
            <w:r w:rsidRPr="00E66129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cs-CZ"/>
              </w:rPr>
              <w:t>6)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Zákon č. 40/2009 Sb., trestní zákoník, ve znění pozdějších předpisů.“.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16. V § 20 odst. 4 se slova „70 % ze 40 předložených otázek“ nahrazují slovy „nejméně na 70 % otázek v každé ze tří tematických oblastí“.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17. § 23 včetně nadpisu zní:</w:t>
      </w:r>
    </w:p>
    <w:p w:rsidR="00E66129" w:rsidRPr="00E66129" w:rsidRDefault="00E66129" w:rsidP="00E6612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„§ 23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Pověřování právnických osob v oblasti výchovy a výuky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22 odst. 9 zákona)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Právnickými osobami, které mohou být ministerstvem pověřeny pořádáním zkoušek pro výkon funkce rybářského hospodáře a jeho zástupce, zkoušek pro výkon funkce rybářské stráže a zkoušek kvalifikačních předpokladů pro získání prvního rybářského lístku, jsou osoby, jejichž pracovníci splňují kvalifikaci uvedenou v § 6 odst. 1 písm. d) nebo e) nebo v § 6 odst. 2 a mají potřebné technické vybavení.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(2) Nejpozději 7 pracovních dní před konáním zkoušek na rybářského hospodáře a jeho zástupce a zkoušek pro výkon funkce rybářské stráže pořadatel zašle ministerstvu informaci o termínu a místě konání.“.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18. V příloze č. 9 v části II. Znalost právních předpisů bod III. Oblast zní: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(Příloha je dostupná na adrese: </w:t>
      </w:r>
      <w:hyperlink r:id="rId5" w:tgtFrame="_blank" w:history="1">
        <w:r w:rsidRPr="00E66129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cs-CZ"/>
          </w:rPr>
          <w:t>http://aplikace.mvcr.cz/sbirka-zakonu</w:t>
        </w:r>
      </w:hyperlink>
      <w:r w:rsidRPr="00E661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)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left="225"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19. V příloze č. 9 se věta poslední zrušuje.</w:t>
      </w:r>
    </w:p>
    <w:p w:rsidR="00E66129" w:rsidRPr="00E66129" w:rsidRDefault="00E66129" w:rsidP="00E66129">
      <w:pPr>
        <w:shd w:val="clear" w:color="auto" w:fill="FFFFFF"/>
        <w:spacing w:after="0" w:line="240" w:lineRule="auto"/>
        <w:ind w:left="225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Čl. II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Účinnost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left="225"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Tato vyhláška nabývá účinnosti dnem 16. června 2016, s výjimkou ustanovení § 10, které nabývá účinnosti dnem 1. ledna 2017.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ind w:left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Ministr: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Ing. </w:t>
      </w:r>
      <w:r w:rsidRPr="00E661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Jurečka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v. r.</w:t>
      </w:r>
    </w:p>
    <w:p w:rsidR="00E53790" w:rsidRDefault="00E53790"/>
    <w:sectPr w:rsidR="00E5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29"/>
    <w:rsid w:val="002B08E5"/>
    <w:rsid w:val="00E53790"/>
    <w:rsid w:val="00E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612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6129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normalodsazene">
    <w:name w:val="normalodsazene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normalcentertucny">
    <w:name w:val="normalcentertucny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66129"/>
  </w:style>
  <w:style w:type="character" w:styleId="Hypertextovodkaz">
    <w:name w:val="Hyperlink"/>
    <w:basedOn w:val="Standardnpsmoodstavce"/>
    <w:uiPriority w:val="99"/>
    <w:semiHidden/>
    <w:unhideWhenUsed/>
    <w:rsid w:val="00E66129"/>
    <w:rPr>
      <w:color w:val="0000FF"/>
      <w:u w:val="single"/>
    </w:rPr>
  </w:style>
  <w:style w:type="paragraph" w:customStyle="1" w:styleId="normalcenter">
    <w:name w:val="normalcenter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6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612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6129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normalodsazene">
    <w:name w:val="normalodsazene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normalcentertucny">
    <w:name w:val="normalcentertucny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66129"/>
  </w:style>
  <w:style w:type="character" w:styleId="Hypertextovodkaz">
    <w:name w:val="Hyperlink"/>
    <w:basedOn w:val="Standardnpsmoodstavce"/>
    <w:uiPriority w:val="99"/>
    <w:semiHidden/>
    <w:unhideWhenUsed/>
    <w:rsid w:val="00E66129"/>
    <w:rPr>
      <w:color w:val="0000FF"/>
      <w:u w:val="single"/>
    </w:rPr>
  </w:style>
  <w:style w:type="paragraph" w:customStyle="1" w:styleId="normalcenter">
    <w:name w:val="normalcenter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6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likace.mvcr.cz/sbirka-zakonu/SearchResult.aspx?q=123/2016&amp;typeLaw=zakon&amp;what=Cislo_zakona_smlou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Zdvořáček</dc:creator>
  <cp:lastModifiedBy>honza</cp:lastModifiedBy>
  <cp:revision>2</cp:revision>
  <dcterms:created xsi:type="dcterms:W3CDTF">2016-04-24T09:16:00Z</dcterms:created>
  <dcterms:modified xsi:type="dcterms:W3CDTF">2016-04-24T09:16:00Z</dcterms:modified>
</cp:coreProperties>
</file>